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24E" w:rsidRPr="00AC75E9" w:rsidRDefault="00DA624E" w:rsidP="00DA624E">
      <w:pPr>
        <w:tabs>
          <w:tab w:val="left" w:pos="360"/>
          <w:tab w:val="left" w:pos="1418"/>
        </w:tabs>
        <w:ind w:left="1418" w:right="334" w:hanging="1418"/>
        <w:jc w:val="both"/>
        <w:rPr>
          <w:rFonts w:ascii="Arial" w:hAnsi="Arial" w:cs="Arial"/>
          <w:b/>
          <w:sz w:val="22"/>
          <w:szCs w:val="22"/>
        </w:rPr>
      </w:pPr>
    </w:p>
    <w:p w:rsidR="00DA624E" w:rsidRPr="00AC75E9" w:rsidRDefault="00DA624E" w:rsidP="00DA624E">
      <w:pPr>
        <w:tabs>
          <w:tab w:val="left" w:pos="360"/>
          <w:tab w:val="left" w:pos="1418"/>
        </w:tabs>
        <w:ind w:left="1418" w:right="334" w:hanging="1418"/>
        <w:jc w:val="both"/>
        <w:rPr>
          <w:rFonts w:ascii="Arial" w:hAnsi="Arial" w:cs="Arial"/>
          <w:b/>
          <w:sz w:val="22"/>
          <w:szCs w:val="22"/>
        </w:rPr>
      </w:pPr>
      <w:r w:rsidRPr="00AC75E9">
        <w:rPr>
          <w:rFonts w:ascii="Arial" w:hAnsi="Arial" w:cs="Arial"/>
          <w:b/>
          <w:sz w:val="22"/>
          <w:szCs w:val="22"/>
        </w:rPr>
        <w:t>EP. 155.-</w:t>
      </w:r>
      <w:r w:rsidRPr="00AC75E9">
        <w:rPr>
          <w:rFonts w:ascii="Arial" w:hAnsi="Arial" w:cs="Arial"/>
          <w:b/>
          <w:sz w:val="22"/>
          <w:szCs w:val="22"/>
        </w:rPr>
        <w:tab/>
        <w:t>DISEÑO, CONSTRUCCIÓN Y REUBICACIÓN DE LÍNEA DE DRENAJE EN AFECTACIÓN A INFRAESTRUCTURA DE CDG EN COLECTORES DE 2 MTS DE DIÁMETRO, P.U.O.T.</w:t>
      </w:r>
    </w:p>
    <w:p w:rsidR="00DA624E" w:rsidRPr="00AC75E9" w:rsidRDefault="00DA624E" w:rsidP="00DA624E">
      <w:pPr>
        <w:tabs>
          <w:tab w:val="left" w:pos="360"/>
          <w:tab w:val="left" w:pos="1418"/>
        </w:tabs>
        <w:ind w:left="1418" w:right="334" w:hanging="1418"/>
        <w:jc w:val="both"/>
        <w:rPr>
          <w:rFonts w:ascii="Arial" w:hAnsi="Arial" w:cs="Arial"/>
          <w:b/>
          <w:sz w:val="22"/>
          <w:szCs w:val="22"/>
        </w:rPr>
      </w:pPr>
    </w:p>
    <w:p w:rsidR="00DA624E" w:rsidRPr="00AC75E9" w:rsidRDefault="00DA624E" w:rsidP="00DA624E">
      <w:pPr>
        <w:tabs>
          <w:tab w:val="left" w:pos="360"/>
          <w:tab w:val="left" w:pos="1418"/>
        </w:tabs>
        <w:ind w:left="1418" w:right="334" w:hanging="1418"/>
        <w:jc w:val="both"/>
        <w:rPr>
          <w:rFonts w:ascii="Arial" w:hAnsi="Arial" w:cs="Arial"/>
          <w:b/>
          <w:sz w:val="22"/>
          <w:szCs w:val="22"/>
        </w:rPr>
      </w:pPr>
    </w:p>
    <w:p w:rsidR="00DA624E" w:rsidRPr="00AC75E9" w:rsidRDefault="00DA624E" w:rsidP="00DA624E">
      <w:pPr>
        <w:tabs>
          <w:tab w:val="left" w:pos="360"/>
          <w:tab w:val="left" w:pos="1620"/>
          <w:tab w:val="left" w:pos="2127"/>
        </w:tabs>
        <w:ind w:left="2127" w:right="334" w:hanging="2127"/>
        <w:jc w:val="both"/>
        <w:rPr>
          <w:rFonts w:ascii="Arial" w:hAnsi="Arial" w:cs="Arial"/>
          <w:sz w:val="22"/>
          <w:szCs w:val="22"/>
          <w:u w:val="single"/>
        </w:rPr>
      </w:pPr>
    </w:p>
    <w:p w:rsidR="00DA624E" w:rsidRPr="00AC75E9" w:rsidRDefault="00DA624E" w:rsidP="00DA624E">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Pr="00AC75E9">
        <w:rPr>
          <w:rFonts w:ascii="Arial" w:hAnsi="Arial" w:cs="Arial"/>
          <w:sz w:val="22"/>
          <w:szCs w:val="22"/>
        </w:rPr>
        <w:t xml:space="preserve">La construcción, diseño y reubicación de la línea de drenaje en colectores de 2 metros de diámetro que resulte afectada se proyectará y construirá de acuerdo a las normativas sanitarias vigentes. La remoción y/o sustitución del sistema se realizará únicamente hasta que se encuentre operativo y funcional el nuevo sistema a utilizar. Las coladeras pluviales, las rejillas de piso, las tuberías, los registros, los pozos de visita, las banquetas, guarniciones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 </w:t>
      </w:r>
    </w:p>
    <w:p w:rsidR="00DA624E" w:rsidRPr="00AC75E9" w:rsidRDefault="00DA624E" w:rsidP="00DA624E">
      <w:pPr>
        <w:tabs>
          <w:tab w:val="left" w:pos="360"/>
          <w:tab w:val="left" w:pos="1418"/>
          <w:tab w:val="left" w:pos="1620"/>
        </w:tabs>
        <w:ind w:right="-1"/>
        <w:jc w:val="both"/>
        <w:rPr>
          <w:rFonts w:ascii="Arial" w:hAnsi="Arial" w:cs="Arial"/>
          <w:sz w:val="22"/>
          <w:szCs w:val="22"/>
        </w:rPr>
      </w:pPr>
    </w:p>
    <w:p w:rsidR="00DA624E" w:rsidRPr="00AC75E9" w:rsidRDefault="00DA624E" w:rsidP="00DA624E">
      <w:pPr>
        <w:ind w:left="2127" w:right="334" w:hanging="2127"/>
        <w:jc w:val="both"/>
        <w:rPr>
          <w:rFonts w:ascii="Arial" w:hAnsi="Arial" w:cs="Arial"/>
          <w:b/>
          <w:sz w:val="22"/>
          <w:szCs w:val="22"/>
        </w:rPr>
      </w:pPr>
    </w:p>
    <w:p w:rsidR="00DA624E" w:rsidRPr="00AC75E9" w:rsidRDefault="00DA624E" w:rsidP="00DA624E">
      <w:pPr>
        <w:jc w:val="both"/>
        <w:rPr>
          <w:rFonts w:ascii="Arial" w:hAnsi="Arial" w:cs="Arial"/>
          <w:sz w:val="22"/>
          <w:szCs w:val="22"/>
        </w:rPr>
      </w:pPr>
      <w:r w:rsidRPr="00AC75E9">
        <w:rPr>
          <w:rFonts w:ascii="Arial" w:hAnsi="Arial" w:cs="Arial"/>
          <w:b/>
          <w:sz w:val="22"/>
          <w:szCs w:val="22"/>
        </w:rPr>
        <w:t xml:space="preserve">MEDICIÓN.- </w:t>
      </w:r>
      <w:r w:rsidRPr="00AC75E9">
        <w:rPr>
          <w:rFonts w:ascii="Arial" w:hAnsi="Arial" w:cs="Arial"/>
          <w:bCs/>
          <w:sz w:val="22"/>
          <w:szCs w:val="22"/>
        </w:rPr>
        <w:t xml:space="preserve">La medición del diseño, construcción y reubicación de la línea de drenaje </w:t>
      </w:r>
      <w:r w:rsidRPr="00AC75E9">
        <w:rPr>
          <w:rFonts w:ascii="Arial" w:hAnsi="Arial" w:cs="Arial"/>
          <w:sz w:val="22"/>
          <w:szCs w:val="22"/>
        </w:rPr>
        <w:t xml:space="preserve">en colectores de 2 metros de diámetro </w:t>
      </w:r>
      <w:r w:rsidRPr="00AC75E9">
        <w:rPr>
          <w:rFonts w:ascii="Arial" w:hAnsi="Arial" w:cs="Arial"/>
          <w:bCs/>
          <w:sz w:val="22"/>
          <w:szCs w:val="22"/>
        </w:rPr>
        <w:t>en afectaciones</w:t>
      </w:r>
      <w:r w:rsidRPr="00AC75E9">
        <w:rPr>
          <w:rFonts w:ascii="Arial" w:hAnsi="Arial" w:cs="Arial"/>
          <w:sz w:val="22"/>
          <w:szCs w:val="22"/>
        </w:rPr>
        <w:t xml:space="preserve">, por unidad de obra terminada, </w:t>
      </w:r>
      <w:r w:rsidRPr="00AC75E9">
        <w:rPr>
          <w:rFonts w:ascii="Arial" w:hAnsi="Arial" w:cs="Arial"/>
          <w:bCs/>
          <w:sz w:val="22"/>
          <w:szCs w:val="22"/>
        </w:rPr>
        <w:t xml:space="preserve">se hará tomando como unidad </w:t>
      </w:r>
      <w:r w:rsidR="00EA4BD7">
        <w:rPr>
          <w:rFonts w:ascii="Arial" w:hAnsi="Arial" w:cs="Arial"/>
          <w:sz w:val="22"/>
          <w:szCs w:val="22"/>
        </w:rPr>
        <w:t>la pieza</w:t>
      </w:r>
      <w:r w:rsidRPr="00AC75E9">
        <w:rPr>
          <w:rFonts w:ascii="Arial" w:hAnsi="Arial" w:cs="Arial"/>
          <w:sz w:val="22"/>
          <w:szCs w:val="22"/>
        </w:rPr>
        <w:t xml:space="preserve"> (</w:t>
      </w:r>
      <w:r w:rsidR="00EA4BD7">
        <w:rPr>
          <w:rFonts w:ascii="Arial" w:hAnsi="Arial" w:cs="Arial"/>
          <w:sz w:val="22"/>
          <w:szCs w:val="22"/>
        </w:rPr>
        <w:t>PZA</w:t>
      </w:r>
      <w:r w:rsidRPr="00AC75E9">
        <w:rPr>
          <w:rFonts w:ascii="Arial" w:hAnsi="Arial" w:cs="Arial"/>
          <w:sz w:val="22"/>
          <w:szCs w:val="22"/>
        </w:rPr>
        <w:t>) de línea de drenaje afectada.</w:t>
      </w:r>
    </w:p>
    <w:p w:rsidR="00DA624E" w:rsidRPr="00AC75E9" w:rsidRDefault="00DA624E" w:rsidP="00DA624E">
      <w:pPr>
        <w:ind w:left="2127" w:right="334" w:hanging="2127"/>
        <w:jc w:val="both"/>
        <w:rPr>
          <w:rFonts w:ascii="Arial" w:hAnsi="Arial" w:cs="Arial"/>
          <w:b/>
          <w:sz w:val="22"/>
          <w:szCs w:val="22"/>
        </w:rPr>
      </w:pPr>
    </w:p>
    <w:p w:rsidR="00DA624E" w:rsidRPr="00AC75E9" w:rsidRDefault="00DA624E" w:rsidP="00DA624E">
      <w:pPr>
        <w:ind w:left="2127" w:right="334" w:hanging="2127"/>
        <w:jc w:val="both"/>
        <w:rPr>
          <w:rFonts w:ascii="Arial" w:hAnsi="Arial" w:cs="Arial"/>
          <w:b/>
          <w:sz w:val="22"/>
          <w:szCs w:val="22"/>
        </w:rPr>
      </w:pPr>
    </w:p>
    <w:p w:rsidR="00DA624E" w:rsidRPr="00AC75E9" w:rsidRDefault="00DA624E" w:rsidP="00DA624E">
      <w:pPr>
        <w:jc w:val="both"/>
        <w:rPr>
          <w:rFonts w:ascii="Arial" w:hAnsi="Arial" w:cs="Arial"/>
          <w:sz w:val="22"/>
          <w:szCs w:val="22"/>
        </w:rPr>
      </w:pPr>
      <w:r w:rsidRPr="00AC75E9">
        <w:rPr>
          <w:rFonts w:ascii="Arial" w:hAnsi="Arial" w:cs="Arial"/>
          <w:b/>
          <w:sz w:val="22"/>
          <w:szCs w:val="22"/>
        </w:rPr>
        <w:t xml:space="preserve">BASE DE PAGO.- </w:t>
      </w:r>
      <w:r w:rsidRPr="00AC75E9">
        <w:rPr>
          <w:rFonts w:ascii="Arial" w:hAnsi="Arial" w:cs="Arial"/>
          <w:sz w:val="22"/>
          <w:szCs w:val="22"/>
        </w:rPr>
        <w:t>Para efecto de pago se d</w:t>
      </w:r>
      <w:bookmarkStart w:id="0" w:name="_GoBack"/>
      <w:bookmarkEnd w:id="0"/>
      <w:r w:rsidRPr="00AC75E9">
        <w:rPr>
          <w:rFonts w:ascii="Arial" w:hAnsi="Arial" w:cs="Arial"/>
          <w:sz w:val="22"/>
          <w:szCs w:val="22"/>
        </w:rPr>
        <w:t>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y la ejecución del proyecto. Gestión de documentos, permisos, trámites, ejecución de los trabajos, materiales, mano de obra, equipo, herramienta, herrajes, excavaciones, rellenos, grúas, compactación de terreno, construcción de registros y/o pozos de visita, bases, soportes, reposición de banquetas y guarniciones afectadas por maniobras, limpieza del área de trabajo y todos los materiales, maquinaria y mano de obra para su correcta ejecución por unidad de obra terminada (P.U.O.T).</w:t>
      </w:r>
    </w:p>
    <w:p w:rsidR="00DA624E" w:rsidRPr="00AC75E9" w:rsidRDefault="00DA624E" w:rsidP="00DA624E">
      <w:pPr>
        <w:ind w:right="-1"/>
        <w:jc w:val="both"/>
        <w:rPr>
          <w:rFonts w:ascii="Arial" w:hAnsi="Arial" w:cs="Arial"/>
          <w:sz w:val="22"/>
          <w:szCs w:val="22"/>
        </w:rPr>
      </w:pPr>
    </w:p>
    <w:p w:rsidR="00DA624E" w:rsidRPr="00AC75E9" w:rsidRDefault="00DA624E" w:rsidP="00DA624E">
      <w:pPr>
        <w:ind w:right="-1"/>
        <w:jc w:val="both"/>
        <w:rPr>
          <w:rFonts w:ascii="Arial" w:hAnsi="Arial" w:cs="Arial"/>
          <w:sz w:val="22"/>
          <w:szCs w:val="22"/>
        </w:rPr>
      </w:pPr>
    </w:p>
    <w:sectPr w:rsidR="00DA624E" w:rsidRPr="00AC75E9"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EA4BD7">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BD7"/>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93E2F-55C9-4D6D-BDC0-BFABE24F1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365</Words>
  <Characters>2140</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2014-04-23T22:53:00Z</dcterms:modified>
</cp:coreProperties>
</file>